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left"/>
      </w:pPr>
      <w:r>
        <w:rPr>
          <w:rFonts w:ascii="Calibri" w:hAnsi="Calibri"/>
          <w:b/>
          <w:color w:val="EA580C"/>
          <w:sz w:val="19"/>
        </w:rPr>
        <w:t>THE COACHING X • MASTER TOOLKIT • APPENDIX F</w:t>
      </w:r>
    </w:p>
    <w:p>
      <w:pPr>
        <w:jc w:val="left"/>
      </w:pPr>
      <w:r>
        <w:rPr>
          <w:rFonts w:ascii="Calibri" w:hAnsi="Calibri"/>
          <w:b/>
          <w:color w:val="0F172A"/>
          <w:sz w:val="44"/>
        </w:rPr>
        <w:t>The 13 Sprint Master Checklist</w:t>
      </w:r>
    </w:p>
    <w:p>
      <w:pPr>
        <w:jc w:val="both"/>
      </w:pPr>
      <w:r>
        <w:rPr>
          <w:rFonts w:ascii="Calibri" w:hAnsi="Calibri"/>
          <w:i/>
          <w:color w:val="475569"/>
          <w:sz w:val="22"/>
        </w:rPr>
        <w:t>A consolidated verification checklist tracking the 13 Execution Sprints from Part V to take your coaching enterprise from zero to ₹15L+/month.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312"/>
        <w:gridCol w:w="3312"/>
        <w:gridCol w:w="3312"/>
      </w:tblGrid>
      <w:tr>
        <w:tc>
          <w:tcPr>
            <w:tcW w:type="dxa" w:w="3168"/>
            <w:shd w:fill="F1F5F9"/>
          </w:tcPr>
          <w:p>
            <w:pPr>
              <w:spacing w:before="80" w:after="80"/>
            </w:pPr>
            <w:r>
              <w:rPr>
                <w:b/>
                <w:color w:val="64748B"/>
                <w:sz w:val="17"/>
              </w:rPr>
              <w:t xml:space="preserve">AUTHOR: </w:t>
            </w:r>
            <w:r>
              <w:rPr>
                <w:b/>
                <w:color w:val="0F172A"/>
                <w:sz w:val="18"/>
              </w:rPr>
              <w:t>Alok Kumar</w:t>
            </w:r>
          </w:p>
        </w:tc>
        <w:tc>
          <w:tcPr>
            <w:tcW w:type="dxa" w:w="3312"/>
            <w:shd w:fill="F1F5F9"/>
          </w:tcPr>
          <w:p>
            <w:pPr>
              <w:spacing w:before="80" w:after="80"/>
            </w:pPr>
            <w:r>
              <w:rPr>
                <w:b/>
                <w:color w:val="64748B"/>
                <w:sz w:val="17"/>
              </w:rPr>
              <w:t xml:space="preserve">FRAMEWORK: </w:t>
            </w:r>
            <w:r>
              <w:rPr>
                <w:b/>
                <w:color w:val="0F172A"/>
                <w:sz w:val="18"/>
              </w:rPr>
              <w:t>The Coaching X Ecosystem</w:t>
            </w:r>
          </w:p>
        </w:tc>
        <w:tc>
          <w:tcPr>
            <w:tcW w:type="dxa" w:w="3456"/>
            <w:shd w:fill="F1F5F9"/>
          </w:tcPr>
          <w:p>
            <w:pPr>
              <w:spacing w:before="80" w:after="80"/>
            </w:pPr>
            <w:r>
              <w:rPr>
                <w:b/>
                <w:color w:val="64748B"/>
                <w:sz w:val="17"/>
              </w:rPr>
              <w:t xml:space="preserve">FORMAT: </w:t>
            </w:r>
            <w:r>
              <w:rPr>
                <w:b/>
                <w:color w:val="0F172A"/>
                <w:sz w:val="18"/>
              </w:rPr>
              <w:t>Execution Roadmap / Appendix F</w:t>
            </w:r>
          </w:p>
        </w:tc>
      </w:tr>
    </w:tbl>
    <w:p>
      <w:pPr>
        <w:spacing w:after="200"/>
      </w:pPr>
    </w:p>
    <w:p>
      <w:pPr>
        <w:keepNext/>
        <w:spacing w:before="280" w:after="80"/>
      </w:pPr>
      <w:r>
        <w:rPr>
          <w:rFonts w:ascii="Calibri" w:hAnsi="Calibri"/>
          <w:b/>
          <w:color w:val="0F172A"/>
          <w:sz w:val="26"/>
        </w:rPr>
        <w:t>PHASE 1: FOUNDATION &amp; CODIFICATION (SPRINTS 01–04)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9936"/>
      </w:tblGrid>
      <w:tr>
        <w:tc>
          <w:tcPr>
            <w:tcW w:type="dxa" w:w="9936"/>
            <w:shd w:fill="F8FAFC"/>
            <w:tcBorders>
              <w:top w:val="none"/>
              <w:left w:val="single" w:sz="24" w:space="0" w:color="0284C7"/>
              <w:bottom w:val="none"/>
              <w:right w:val="none"/>
            </w:tcBorders>
          </w:tcPr>
          <w:p>
            <w:pPr>
              <w:spacing w:before="120" w:after="120"/>
              <w:jc w:val="both"/>
            </w:pPr>
            <w:r>
              <w:rPr>
                <w:rFonts w:ascii="Calibri" w:hAnsi="Calibri"/>
                <w:color w:val="334155"/>
                <w:sz w:val="21"/>
              </w:rPr>
              <w:t>■ Sprint 01 (Positioning): Blue Ocean Category declared; generic titles dissolved.</w:t>
            </w:r>
          </w:p>
          <w:p>
            <w:pPr>
              <w:spacing w:before="60" w:after="60"/>
              <w:jc w:val="both"/>
            </w:pPr>
            <w:r>
              <w:rPr>
                <w:rFonts w:ascii="Calibri" w:hAnsi="Calibri"/>
                <w:color w:val="334155"/>
                <w:sz w:val="21"/>
              </w:rPr>
              <w:t>■ Sprint 02 (Signature Offer): 3-phase transformation vehicle codified; ₹1.5L floor set.</w:t>
            </w:r>
          </w:p>
          <w:p>
            <w:pPr>
              <w:spacing w:before="60" w:after="60"/>
              <w:jc w:val="both"/>
            </w:pPr>
            <w:r>
              <w:rPr>
                <w:rFonts w:ascii="Calibri" w:hAnsi="Calibri"/>
                <w:color w:val="334155"/>
                <w:sz w:val="21"/>
              </w:rPr>
              <w:t>■ Sprint 03 (Content Engine): S-T-O-R-Y-X™ framework installed; 3 essays/week rhythm.</w:t>
            </w:r>
          </w:p>
          <w:p>
            <w:pPr>
              <w:spacing w:before="60" w:after="60"/>
              <w:jc w:val="both"/>
            </w:pPr>
            <w:r>
              <w:rPr>
                <w:rFonts w:ascii="Calibri" w:hAnsi="Calibri"/>
                <w:color w:val="334155"/>
                <w:sz w:val="21"/>
              </w:rPr>
              <w:t>■ Sprint 04 (Authority Magnet): Forensic 1-page visual teardowns deployed on LinkedIn.</w:t>
            </w:r>
          </w:p>
        </w:tc>
      </w:tr>
    </w:tbl>
    <w:p>
      <w:pPr>
        <w:spacing w:after="80"/>
      </w:pPr>
    </w:p>
    <w:p>
      <w:pPr>
        <w:keepNext/>
        <w:spacing w:before="280" w:after="80"/>
      </w:pPr>
      <w:r>
        <w:rPr>
          <w:rFonts w:ascii="Calibri" w:hAnsi="Calibri"/>
          <w:b/>
          <w:color w:val="0F172A"/>
          <w:sz w:val="26"/>
        </w:rPr>
        <w:t>PHASE 2: PIPELINE &amp; HIGH-TICKET ENROLLMENT (SPRINTS 05–08)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9936"/>
      </w:tblGrid>
      <w:tr>
        <w:tc>
          <w:tcPr>
            <w:tcW w:type="dxa" w:w="9936"/>
            <w:shd w:fill="F8FAFC"/>
            <w:tcBorders>
              <w:top w:val="none"/>
              <w:left w:val="single" w:sz="24" w:space="0" w:color="0284C7"/>
              <w:bottom w:val="none"/>
              <w:right w:val="none"/>
            </w:tcBorders>
          </w:tcPr>
          <w:p>
            <w:pPr>
              <w:spacing w:before="120" w:after="120"/>
              <w:jc w:val="both"/>
            </w:pPr>
            <w:r>
              <w:rPr>
                <w:rFonts w:ascii="Calibri" w:hAnsi="Calibri"/>
                <w:color w:val="334155"/>
                <w:sz w:val="21"/>
              </w:rPr>
              <w:t>■ Sprint 05 (Profile Fortress): Profile converted into an executive landing page.</w:t>
            </w:r>
          </w:p>
          <w:p>
            <w:pPr>
              <w:spacing w:before="60" w:after="60"/>
              <w:jc w:val="both"/>
            </w:pPr>
            <w:r>
              <w:rPr>
                <w:rFonts w:ascii="Calibri" w:hAnsi="Calibri"/>
                <w:color w:val="334155"/>
                <w:sz w:val="21"/>
              </w:rPr>
              <w:t>■ Sprint 06 (Organic Pipeline): Daily 45-min commenting protocol active on 20 waterholes.</w:t>
            </w:r>
          </w:p>
          <w:p>
            <w:pPr>
              <w:spacing w:before="60" w:after="60"/>
              <w:jc w:val="both"/>
            </w:pPr>
            <w:r>
              <w:rPr>
                <w:rFonts w:ascii="Calibri" w:hAnsi="Calibri"/>
                <w:color w:val="334155"/>
                <w:sz w:val="21"/>
              </w:rPr>
              <w:t>■ Sprint 07 (Conversational Triage): 3-message DM flow + 2-question qualification active.</w:t>
            </w:r>
          </w:p>
          <w:p>
            <w:pPr>
              <w:spacing w:before="60" w:after="60"/>
              <w:jc w:val="both"/>
            </w:pPr>
            <w:r>
              <w:rPr>
                <w:rFonts w:ascii="Calibri" w:hAnsi="Calibri"/>
                <w:color w:val="334155"/>
                <w:sz w:val="21"/>
              </w:rPr>
              <w:t>■ Sprint 08 (Sales System): 35-min clinical diagnostic session closing at 50%+.</w:t>
            </w:r>
          </w:p>
        </w:tc>
      </w:tr>
    </w:tbl>
    <w:p>
      <w:pPr>
        <w:spacing w:after="80"/>
      </w:pPr>
    </w:p>
    <w:p>
      <w:pPr>
        <w:keepNext/>
        <w:spacing w:before="280" w:after="80"/>
      </w:pPr>
      <w:r>
        <w:rPr>
          <w:rFonts w:ascii="Calibri" w:hAnsi="Calibri"/>
          <w:b/>
          <w:color w:val="0F172A"/>
          <w:sz w:val="26"/>
        </w:rPr>
        <w:t>PHASE 3: ASYNCHRONOUS DELIVERY &amp; AI SCALE (SPRINTS 09–13)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9936"/>
      </w:tblGrid>
      <w:tr>
        <w:tc>
          <w:tcPr>
            <w:tcW w:type="dxa" w:w="9936"/>
            <w:shd w:fill="F8FAFC"/>
            <w:tcBorders>
              <w:top w:val="none"/>
              <w:left w:val="single" w:sz="24" w:space="0" w:color="0284C7"/>
              <w:bottom w:val="none"/>
              <w:right w:val="none"/>
            </w:tcBorders>
          </w:tcPr>
          <w:p>
            <w:pPr>
              <w:spacing w:before="120" w:after="120"/>
              <w:jc w:val="both"/>
            </w:pPr>
            <w:r>
              <w:rPr>
                <w:rFonts w:ascii="Calibri" w:hAnsi="Calibri"/>
                <w:color w:val="334155"/>
                <w:sz w:val="21"/>
              </w:rPr>
              <w:t>■ Sprint 09 (AI Apprentices): Speech telemetry, intake synthesis, and tracking automated.</w:t>
            </w:r>
          </w:p>
          <w:p>
            <w:pPr>
              <w:spacing w:before="60" w:after="60"/>
              <w:jc w:val="both"/>
            </w:pPr>
            <w:r>
              <w:rPr>
                <w:rFonts w:ascii="Calibri" w:hAnsi="Calibri"/>
                <w:color w:val="334155"/>
                <w:sz w:val="21"/>
              </w:rPr>
              <w:t>■ Sprint 10 (Client Delivery): 7-min Loom asynchronous walkthroughs replace meetings.</w:t>
            </w:r>
          </w:p>
          <w:p>
            <w:pPr>
              <w:spacing w:before="60" w:after="60"/>
              <w:jc w:val="both"/>
            </w:pPr>
            <w:r>
              <w:rPr>
                <w:rFonts w:ascii="Calibri" w:hAnsi="Calibri"/>
                <w:color w:val="334155"/>
                <w:sz w:val="21"/>
              </w:rPr>
              <w:t>■ Sprint 11 (Operations &amp; SOPs): Notion client portal standardizes 72-hour feedback lock.</w:t>
            </w:r>
          </w:p>
          <w:p>
            <w:pPr>
              <w:spacing w:before="60" w:after="60"/>
              <w:jc w:val="both"/>
            </w:pPr>
            <w:r>
              <w:rPr>
                <w:rFonts w:ascii="Calibri" w:hAnsi="Calibri"/>
                <w:color w:val="334155"/>
                <w:sz w:val="21"/>
              </w:rPr>
              <w:t>■ Sprint 12 (Freedom Defense): Calendar strictly protected under 18 client hours/week.</w:t>
            </w:r>
          </w:p>
          <w:p>
            <w:pPr>
              <w:spacing w:before="60" w:after="60"/>
              <w:jc w:val="both"/>
            </w:pPr>
            <w:r>
              <w:rPr>
                <w:rFonts w:ascii="Calibri" w:hAnsi="Calibri"/>
                <w:color w:val="334155"/>
                <w:sz w:val="21"/>
              </w:rPr>
              <w:t>■ Sprint 13 (Ascension &amp; Scale): Operating at 90%+ net margin, scaling past ₹15L/mo.</w:t>
            </w:r>
          </w:p>
        </w:tc>
      </w:tr>
    </w:tbl>
    <w:p>
      <w:pPr>
        <w:spacing w:after="80"/>
      </w:pPr>
    </w:p>
    <w:p>
      <w:pPr>
        <w:keepNext/>
        <w:spacing w:before="320" w:after="80"/>
      </w:pPr>
      <w:r>
        <w:rPr>
          <w:rFonts w:ascii="Calibri" w:hAnsi="Calibri"/>
          <w:b/>
          <w:color w:val="EA580C"/>
          <w:sz w:val="22"/>
        </w:rPr>
        <w:t>THE 90-DAY SOVEREIGN MANDATE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9936"/>
      </w:tblGrid>
      <w:tr>
        <w:tc>
          <w:tcPr>
            <w:tcW w:type="dxa" w:w="9936"/>
            <w:shd w:fill="FFF7ED"/>
            <w:tcBorders>
              <w:top w:val="none"/>
              <w:left w:val="single" w:sz="28" w:space="0" w:color="EA580C"/>
              <w:bottom w:val="none"/>
              <w:right w:val="none"/>
            </w:tcBorders>
          </w:tcPr>
          <w:p>
            <w:pPr>
              <w:spacing w:before="120" w:after="120"/>
              <w:jc w:val="both"/>
            </w:pPr>
            <w:r>
              <w:rPr>
                <w:rFonts w:ascii="Calibri" w:hAnsi="Calibri"/>
                <w:i/>
                <w:color w:val="7C2D12"/>
                <w:sz w:val="21"/>
              </w:rPr>
              <w:t>Do not skip sprint milestones. Every sprint builds the structural load-bearing capacity for the next. When all 13 sprints are certified, you possess an unshakeable coaching empire.</w:t>
            </w:r>
          </w:p>
        </w:tc>
      </w:tr>
    </w:tbl>
    <w:p>
      <w:pPr>
        <w:spacing w:before="480"/>
        <w:jc w:val="center"/>
      </w:pPr>
      <w:r>
        <w:rPr>
          <w:rFonts w:ascii="Calibri" w:hAnsi="Calibri"/>
          <w:color w:val="94A3B8"/>
          <w:sz w:val="17"/>
        </w:rPr>
        <w:t>THE COACHING X • ALOK KUMAR • THE BUSINESS EUTOPIA • ALL RIGHTS RESERVED</w:t>
      </w:r>
    </w:p>
    <w:sectPr w:rsidR="00FC693F" w:rsidRPr="0006063C" w:rsidSect="00034616">
      <w:pgSz w:w="12240" w:h="15840"/>
      <w:pgMar w:top="1152" w:right="1152" w:bottom="1152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