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rFonts w:ascii="Calibri" w:hAnsi="Calibri"/>
          <w:b/>
          <w:color w:val="EA580C"/>
          <w:sz w:val="19"/>
        </w:rPr>
        <w:t>THE COACHING X • MASTER TOOLKIT • APPENDIX D</w:t>
      </w:r>
    </w:p>
    <w:p>
      <w:pPr>
        <w:jc w:val="left"/>
      </w:pPr>
      <w:r>
        <w:rPr>
          <w:rFonts w:ascii="Calibri" w:hAnsi="Calibri"/>
          <w:b/>
          <w:color w:val="0F172A"/>
          <w:sz w:val="44"/>
        </w:rPr>
        <w:t>The 4 Telemetry Scorecards &amp; Audit Memo</w:t>
      </w:r>
    </w:p>
    <w:p>
      <w:pPr>
        <w:jc w:val="both"/>
      </w:pPr>
      <w:r>
        <w:rPr>
          <w:rFonts w:ascii="Calibri" w:hAnsi="Calibri"/>
          <w:i/>
          <w:color w:val="475569"/>
          <w:sz w:val="22"/>
        </w:rPr>
        <w:t>Printable operational scorecards and executive memo templates to maintain clinical operational governance every Friday at 12:30 PM.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AUTHOR: </w:t>
            </w:r>
            <w:r>
              <w:rPr>
                <w:b/>
                <w:color w:val="0F172A"/>
                <w:sz w:val="18"/>
              </w:rPr>
              <w:t>Alok Kumar</w:t>
            </w:r>
          </w:p>
        </w:tc>
        <w:tc>
          <w:tcPr>
            <w:tcW w:type="dxa" w:w="3312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FRAMEWORK: </w:t>
            </w:r>
            <w:r>
              <w:rPr>
                <w:b/>
                <w:color w:val="0F172A"/>
                <w:sz w:val="18"/>
              </w:rPr>
              <w:t>The Coaching X Ecosystem</w:t>
            </w:r>
          </w:p>
        </w:tc>
        <w:tc>
          <w:tcPr>
            <w:tcW w:type="dxa" w:w="3456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FORMAT: </w:t>
            </w:r>
            <w:r>
              <w:rPr>
                <w:b/>
                <w:color w:val="0F172A"/>
                <w:sz w:val="18"/>
              </w:rPr>
              <w:t>Operations Worksheet / Appendix D</w:t>
            </w:r>
          </w:p>
        </w:tc>
      </w:tr>
    </w:tbl>
    <w:p>
      <w:pPr>
        <w:spacing w:after="20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SCORECARD 01: Build (Velocity)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Weekly Metric Monitored: Proprietary intellectual assets codified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Target Threshold: 1 core proprietary asset / week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Measurement: Did you document a repeatable framework, SOP, or teardown that compounds business enterprise value?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SCORECARD 02: Publish (Cadence)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Weekly Metric Monitored: S-T-O-R-Y-X™ essays published on LinkedIn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Target Threshold: 3 essays / week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Measurement: 100% adherence to the 8-element spine (Hook, Story, Problem, Agitate, Reframe, Solution, CTA) without vanity posting.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SCORECARD 03: Conversation (Flow)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Weekly Metric Monitored: Qualified 2-question DM triage initiated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Target Threshold: 15 triages / week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Measurement: Meaningful consultative interactions initiated from organic waterholes into conversational diagnostic pipeline.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SCORECARD 04: Revenue (Retained)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Weekly Metric Monitored: Upfront capital collected &amp; retained net margin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Target Threshold: 85%+ net margin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Measurement: Upfront fees collected via automated mandate with zero accounts receivable or payment chases.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EXECUTIVE MEMO TEMPLATE: The Friday Telemetry Memo (Send at 3:30 PM)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“To: [Client Executive Team] • Date: [Friday Date]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1. ASSETS DEPLOYED THIS WEEK: [List 2–3 specific deliverables pushed live].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2. TELEMETRY &amp; COMMERCIAL METRICS: [List measured performance lift, e.g., CAC drop, conversion lift, or team sprint velocity].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3. NEXT WEEK STRATEGIC HORIZON: [State the single primary priority for the upcoming sprint].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Have a restorative weekend. We advance on Tuesday at 9:00 AM.”</w:t>
            </w:r>
          </w:p>
        </w:tc>
      </w:tr>
    </w:tbl>
    <w:p>
      <w:pPr>
        <w:spacing w:after="80"/>
      </w:pPr>
    </w:p>
    <w:p>
      <w:pPr>
        <w:keepNext/>
        <w:spacing w:before="320" w:after="80"/>
      </w:pPr>
      <w:r>
        <w:rPr>
          <w:rFonts w:ascii="Calibri" w:hAnsi="Calibri"/>
          <w:b/>
          <w:color w:val="EA580C"/>
          <w:sz w:val="22"/>
        </w:rPr>
        <w:t>THE TELEMETRY AXIOM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FF7ED"/>
            <w:tcBorders>
              <w:top w:val="none"/>
              <w:left w:val="single" w:sz="28" w:space="0" w:color="EA580C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i/>
                <w:color w:val="7C2D12"/>
                <w:sz w:val="21"/>
              </w:rPr>
              <w:t>When telemetry is measured weekly, self-doubt evaporates. You no longer manage your enterprise by emotional approximation; you govern by undeniable mathematical truth.</w:t>
            </w:r>
          </w:p>
        </w:tc>
      </w:tr>
    </w:tbl>
    <w:p>
      <w:pPr>
        <w:spacing w:before="480"/>
        <w:jc w:val="center"/>
      </w:pPr>
      <w:r>
        <w:rPr>
          <w:rFonts w:ascii="Calibri" w:hAnsi="Calibri"/>
          <w:color w:val="94A3B8"/>
          <w:sz w:val="17"/>
        </w:rPr>
        <w:t>THE COACHING X • ALOK KUMAR • THE BUSINESS EUTOPIA • ALL RIGHTS RESERVED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